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850 2012 145 vom 15. März 2010</w:t>
      </w:r>
    </w:p>
    <w:p>
      <w:r>
        <w:t>BL Gerichte, 2010-03-15, DE</w:t>
      </w:r>
    </w:p>
    <w:p>
      <w:r>
        <w:rPr>
          <w:b/>
        </w:rPr>
        <w:t xml:space="preserve">Quelle: </w:t>
      </w:r>
      <w:r>
        <w:t>https://mcp.opencaselaw.ch/entscheid/bl_gerichte_850 2012 145</w:t>
      </w:r>
    </w:p>
    <w:p>
      <w:r>
        <w:t>FR: BL_GERICHTE 850 2012 145 du 15 mars 2010</w:t>
      </w:r>
    </w:p>
    <w:p>
      <w:r>
        <w:t>IT: BL_GERICHTE 850 2012 145 del 15 marzo 2010</w:t>
      </w:r>
    </w:p>
    <w:p>
      <w:pPr>
        <w:pStyle w:val="Heading2"/>
      </w:pPr>
      <w:r>
        <w:t>Regeste</w:t>
      </w:r>
    </w:p>
    <w:p>
      <w:r>
        <w:t>Fürsorgerische Freiheitsentziehung; Verlängerung der Massnahme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in der Höhe von Fr. 1'800.-- werden der Beschwerdeführerin auferlegt und mit dem geleisteten Kostenvorschuss in der Höhe von Fr. 2'500.-- verrechnet.</w:t>
      </w:r>
    </w:p>
    <w:p>
      <w:r>
        <w:rPr>
          <w:b/>
        </w:rPr>
        <w:t>E. 3</w:t>
      </w:r>
    </w:p>
    <w:p>
      <w:r>
        <w:t>Allfällige Kosten für ärztliche Berichte oder Gutachten gehen zulasten der Beschwerdeführerin und werden separat verlegt. Der zuviel bezahlte Kostenvorschuss in der Höhe von Fr. 700.-- wird mit allfälligen Gutachterkosten verrechnet.</w:t>
      </w:r>
    </w:p>
    <w:p>
      <w:r>
        <w:rPr>
          <w:b/>
        </w:rPr>
        <w:t>E. 4</w:t>
      </w:r>
    </w:p>
    <w:p>
      <w:r>
        <w:t>Die Parteikosten werden wettgeschlagen. Präsidentin Gerichtsschreiberin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